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Incident Triage &amp; Resolution</w:t>
            </w:r>
          </w:p>
        </w:tc>
        <w:tc>
          <w:p>
            <w:r>
              <w:t>1-2: Fails to identify severity or priority; incidents frequently reopen or miss SLAs.
3: Correctly triages severity and follows runbooks to resolve incidents within SLA.
4: Anticipates escalation paths, reduces time-to-resolution through proactive coordination.
5: Prevents repeat escalations and materially lowers MTTR through systemic actions.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Coordination</w:t>
            </w:r>
          </w:p>
        </w:tc>
        <w:tc>
          <w:p>
            <w:r>
              <w:t>1-2: Fails to engage required teams; handoffs are unclear or delayed.
3: Brings required teams together and tracks action items to closure.
4: Proactively removes blockers and aligns priorities across functions.
5: Establishes reliable escalation paths and reduces cross-team handoff time.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</w:t>
            </w:r>
          </w:p>
        </w:tc>
        <w:tc>
          <w:p>
            <w:r>
              <w:t>1-2: Provides late, inconsistent, or unclear updates that increase confusion.
3: Delivers timely status updates to customers and stakeholders during incidents.
4: Tailors updates to audience needs and proactively manages expectations.
5: Serves as trusted spokesperson who reduces stakeholder escalations through clarity.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Root Cause Analysis &amp; Continuous Improvement</w:t>
            </w:r>
          </w:p>
        </w:tc>
        <w:tc>
          <w:p>
            <w:r>
              <w:t>1-2: Resolves symptoms without identifying root cause; no actionable postmortems.
3: Conducts postmortems and documents root causes with corrective actions.
4: Ensures corrective actions are implemented and verified to prevent recurrence.
5: Drives systemic changes that measurably reduce incident frequency and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&amp; Playbook Development</w:t>
            </w:r>
          </w:p>
        </w:tc>
        <w:tc>
          <w:p>
            <w:r>
              <w:t>1-2: Runbooks are missing, outdated, or inconsistently used.
3: Maintains up-to-date runbooks and follows defined escalation processes.
4: Improves playbooks and automates repeatable remediation steps.
5: Builds versioned, scalable processes adopted by multiple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Reporting &amp; Risk Management</w:t>
            </w:r>
          </w:p>
        </w:tc>
        <w:tc>
          <w:p>
            <w:r>
              <w:t>1-2: Does not track key incident metrics or miss emerging risk signals.
3: Tracks MTTR, incident counts, and delivers regular reports.
4: Uses metrics to prioritize work and highlight operational risk trends.
5: Builds dashboards and forecasting that enable proactive risk mitigation.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Leadership &amp; Coaching</w:t>
            </w:r>
          </w:p>
        </w:tc>
        <w:tc>
          <w:p>
            <w:r>
              <w:t>1-2: Avoids ownership or fails to develop responders; accountability gaps persist.
3: Coaches responders, enforces accountability, and mentors team members.
4: Runs drills, develops skills, and improves team incident performance.
5: Builds and mentors a high-performing escalations capability across the organization.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2025-09-17T10:17:47Z</dcterms:created>
  <dc:creator>Apache POI</dc:creator>
</cp:coreProperties>
</file>