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Architecture</w:t>
            </w:r>
          </w:p>
        </w:tc>
        <w:tc>
          <w:p>
            <w:r>
              <w:t>1-2: Shows limited understanding of system components; proposes fragile or unscalable designs.
3: Designs reliable services with clear component boundaries and reasonable scalability plans.
4: Architects for failure, capacity, and cost; defines interfaces and scaling strategies.
5: Leads architecture decisions across teams and drives long-term system evolution and trade-offs.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Automation</w:t>
            </w:r>
          </w:p>
        </w:tc>
        <w:tc>
          <w:p>
            <w:r>
              <w:t>1-2: Relies on manual deployments and ad-hoc scripts with no repeatable pipelines.
3: Implements pipelines that build, test, and deploy reliably for a service.
4: Creates reusable, secure pipelines across services with fast feedback and rollbacks.
5: Defines organization-wide CI/CD standards and automates release orchestration and canaries.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Infrastructure as Code</w:t>
            </w:r>
          </w:p>
        </w:tc>
        <w:tc>
          <w:p>
            <w:r>
              <w:t>1-2: Performs manual provisioning or uses undocumented scripts without versioning.
3: Uses IaC to provision and update environments with basic modules and state handling.
4: Builds modular, testable IaC with drift detection and environment parity.
5: Designs and enforces IaC patterns and promotes reusable module libraries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Observability &amp; Monitoring</w:t>
            </w:r>
          </w:p>
        </w:tc>
        <w:tc>
          <w:p>
            <w:r>
              <w:t>1-2: Lacks metrics, structured logs, or alerts and is purely reactive.
3: Implements metrics, structured logs, and basic alerts for services.
4: Designs dashboards, SLOs, and alerting with noise reduction and routing.
5: Introduces system-wide SLO strategy and drives proactive observability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Ignores security hardening and exposes credentials or overly permissive access.
3: Applies standard controls: least-privilege IAM, secret management, and patching.
4: Integrates security scans into pipelines and performs threat modeling and remediation.
5: Defines organization-level security practices and drives compliance audits and fixes.</w:t>
            </w:r>
          </w:p>
        </w:tc>
        <w:tc>
          <w:p>
            <w:r>
              <w:t/>
            </w:r>
          </w:p>
        </w:tc>
      </w:tr>
      <w:tr>
        <w:tc>
          <w:p>
            <w:r>
              <w:t>Incident Response &amp; Troubleshooting</w:t>
            </w:r>
          </w:p>
        </w:tc>
        <w:tc>
          <w:p>
            <w:r>
              <w:t>1-2: Slow to diagnose, escalates without clear steps, and avoids postmortems.
3: Diagnoses incidents, follows runbooks, and resolves within agreed SLA.
4: Leads incident response, isolates root cause, and documents remediation.
5: Improves playbooks, reduces MTTD/MTTR, and drives closure of systemic fixes.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Poor communication; misses handoffs and creates friction with stakeholders.
3: Communicates clearly with engineers and documents changes and runbooks.
4: Proactively aligns stakeholders, negotiates trade-offs, and mentors peers.
5: Drives cross-team initiatives, influences roadmap, and coaches other teams in practices.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2025-09-17T10:16:10Z</dcterms:created>
  <dc:creator>Apache POI</dc:creator>
</cp:coreProperties>
</file>